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DE3" w:rsidRPr="00E96DE3" w:rsidRDefault="00E96DE3" w:rsidP="00E96DE3">
      <w:pPr>
        <w:pStyle w:val="NoSpacing"/>
        <w:rPr>
          <w:b/>
          <w:bCs/>
          <w:sz w:val="44"/>
          <w:szCs w:val="44"/>
        </w:rPr>
      </w:pPr>
      <w:r w:rsidRPr="00E96DE3">
        <w:rPr>
          <w:b/>
          <w:bCs/>
          <w:sz w:val="44"/>
          <w:szCs w:val="44"/>
        </w:rPr>
        <w:t>Understanding Adverse Childhood Experiences and the Big-T vs. Little-t Trauma</w:t>
      </w:r>
    </w:p>
    <w:p w:rsidR="00E96DE3" w:rsidRDefault="00E96DE3" w:rsidP="00E96DE3">
      <w:pPr>
        <w:pStyle w:val="NoSpacing"/>
        <w:rPr>
          <w:kern w:val="0"/>
        </w:rPr>
      </w:pPr>
      <w:r w:rsidRPr="00E96DE3">
        <w:rPr>
          <w:kern w:val="0"/>
        </w:rPr>
        <w:t>Adverse Childhood Experiences (ACEs) have gained significant attention in recent years as a critical factor in understanding the long-term impact of early life experiences on mental and physical health. The Adverse Childhood Experience Questionnaire (ACE-Q) is a pivotal tool used to assess the prevalence of these experiences and their potential consequences. Additionally, it's essential to distinguish between "big-T" and "little-t" trauma, as they represent different levels of severity and require distinct approaches to healing and support.</w:t>
      </w:r>
    </w:p>
    <w:p w:rsidR="00E96DE3" w:rsidRPr="00E96DE3" w:rsidRDefault="00E96DE3" w:rsidP="00E96DE3">
      <w:pPr>
        <w:pStyle w:val="NoSpacing"/>
        <w:rPr>
          <w:kern w:val="0"/>
        </w:rPr>
      </w:pPr>
    </w:p>
    <w:p w:rsidR="00E96DE3" w:rsidRPr="00E96DE3" w:rsidRDefault="00E96DE3" w:rsidP="00E96DE3">
      <w:pPr>
        <w:pStyle w:val="NoSpacing"/>
        <w:rPr>
          <w:b/>
          <w:bCs/>
          <w:kern w:val="0"/>
          <w:sz w:val="36"/>
          <w:szCs w:val="36"/>
        </w:rPr>
      </w:pPr>
      <w:r w:rsidRPr="00E96DE3">
        <w:rPr>
          <w:b/>
          <w:bCs/>
          <w:kern w:val="0"/>
          <w:sz w:val="36"/>
          <w:szCs w:val="36"/>
        </w:rPr>
        <w:t>The Adverse Childhood Experience Questionnaire (ACE-Q)</w:t>
      </w:r>
    </w:p>
    <w:p w:rsidR="00E96DE3" w:rsidRPr="00E96DE3" w:rsidRDefault="00E96DE3" w:rsidP="00E96DE3">
      <w:pPr>
        <w:pStyle w:val="NoSpacing"/>
        <w:rPr>
          <w:b/>
          <w:bCs/>
          <w:kern w:val="0"/>
        </w:rPr>
      </w:pPr>
    </w:p>
    <w:p w:rsidR="00E96DE3" w:rsidRDefault="00E96DE3" w:rsidP="00E96DE3">
      <w:pPr>
        <w:pStyle w:val="NoSpacing"/>
      </w:pPr>
      <w:r w:rsidRPr="00E96DE3">
        <w:rPr>
          <w:kern w:val="0"/>
        </w:rPr>
        <w:t xml:space="preserve">The Adverse Childhood Experience Questionnaire is a widely recognized tool developed by Dr. Vincent J. </w:t>
      </w:r>
      <w:proofErr w:type="spellStart"/>
      <w:r w:rsidRPr="00E96DE3">
        <w:rPr>
          <w:kern w:val="0"/>
        </w:rPr>
        <w:t>Felitti</w:t>
      </w:r>
      <w:proofErr w:type="spellEnd"/>
      <w:r w:rsidRPr="00E96DE3">
        <w:rPr>
          <w:kern w:val="0"/>
        </w:rPr>
        <w:t xml:space="preserve"> and Dr. Robert F. Anda in the late 1990s. It was designed to evaluate the extent of adverse experiences individuals may have encountered during their childhood and adolescence. The ACE-Q consists of 10 questions, </w:t>
      </w:r>
      <w:r w:rsidRPr="00E96DE3">
        <w:t>focusing on various categories of adversity, including abuse, neglect, and household dysfunction.</w:t>
      </w:r>
    </w:p>
    <w:p w:rsidR="00E96DE3" w:rsidRPr="00E96DE3" w:rsidRDefault="00E96DE3" w:rsidP="00E96DE3">
      <w:pPr>
        <w:pStyle w:val="NoSpacing"/>
      </w:pPr>
    </w:p>
    <w:p w:rsidR="00E96DE3" w:rsidRDefault="00E96DE3" w:rsidP="00E96DE3">
      <w:pPr>
        <w:pStyle w:val="NoSpacing"/>
        <w:rPr>
          <w:i/>
          <w:iCs/>
          <w:kern w:val="0"/>
        </w:rPr>
      </w:pPr>
      <w:r w:rsidRPr="00E96DE3">
        <w:rPr>
          <w:i/>
          <w:iCs/>
          <w:kern w:val="0"/>
        </w:rPr>
        <w:t>The 10 ACE-Q items include:</w:t>
      </w:r>
    </w:p>
    <w:p w:rsidR="00E96DE3" w:rsidRPr="00E96DE3" w:rsidRDefault="00E96DE3" w:rsidP="00E96DE3">
      <w:pPr>
        <w:pStyle w:val="NoSpacing"/>
        <w:rPr>
          <w:i/>
          <w:iCs/>
          <w:kern w:val="0"/>
        </w:rPr>
      </w:pPr>
    </w:p>
    <w:p w:rsidR="00E96DE3" w:rsidRPr="00E96DE3" w:rsidRDefault="00E96DE3" w:rsidP="00E96DE3">
      <w:pPr>
        <w:pStyle w:val="NoSpacing"/>
        <w:rPr>
          <w:kern w:val="0"/>
        </w:rPr>
      </w:pPr>
      <w:r w:rsidRPr="00E96DE3">
        <w:rPr>
          <w:kern w:val="0"/>
        </w:rPr>
        <w:t>Emotional abuse</w:t>
      </w:r>
    </w:p>
    <w:p w:rsidR="00E96DE3" w:rsidRPr="00E96DE3" w:rsidRDefault="00E96DE3" w:rsidP="00E96DE3">
      <w:pPr>
        <w:pStyle w:val="NoSpacing"/>
        <w:rPr>
          <w:kern w:val="0"/>
        </w:rPr>
      </w:pPr>
      <w:r w:rsidRPr="00E96DE3">
        <w:rPr>
          <w:kern w:val="0"/>
        </w:rPr>
        <w:t>Physical abuse</w:t>
      </w:r>
    </w:p>
    <w:p w:rsidR="00E96DE3" w:rsidRPr="00E96DE3" w:rsidRDefault="00E96DE3" w:rsidP="00E96DE3">
      <w:pPr>
        <w:pStyle w:val="NoSpacing"/>
        <w:rPr>
          <w:kern w:val="0"/>
        </w:rPr>
      </w:pPr>
      <w:r w:rsidRPr="00E96DE3">
        <w:rPr>
          <w:kern w:val="0"/>
        </w:rPr>
        <w:t>Sexual abuse</w:t>
      </w:r>
    </w:p>
    <w:p w:rsidR="00E96DE3" w:rsidRPr="00E96DE3" w:rsidRDefault="00E96DE3" w:rsidP="00E96DE3">
      <w:pPr>
        <w:pStyle w:val="NoSpacing"/>
        <w:rPr>
          <w:kern w:val="0"/>
        </w:rPr>
      </w:pPr>
      <w:r w:rsidRPr="00E96DE3">
        <w:rPr>
          <w:kern w:val="0"/>
        </w:rPr>
        <w:t>Emotional neglect</w:t>
      </w:r>
    </w:p>
    <w:p w:rsidR="00E96DE3" w:rsidRPr="00E96DE3" w:rsidRDefault="00E96DE3" w:rsidP="00E96DE3">
      <w:pPr>
        <w:pStyle w:val="NoSpacing"/>
        <w:rPr>
          <w:kern w:val="0"/>
        </w:rPr>
      </w:pPr>
      <w:r w:rsidRPr="00E96DE3">
        <w:rPr>
          <w:kern w:val="0"/>
        </w:rPr>
        <w:t>Physical neglect</w:t>
      </w:r>
    </w:p>
    <w:p w:rsidR="00E96DE3" w:rsidRPr="00E96DE3" w:rsidRDefault="00E96DE3" w:rsidP="00E96DE3">
      <w:pPr>
        <w:pStyle w:val="NoSpacing"/>
        <w:rPr>
          <w:kern w:val="0"/>
        </w:rPr>
      </w:pPr>
      <w:r w:rsidRPr="00E96DE3">
        <w:rPr>
          <w:kern w:val="0"/>
        </w:rPr>
        <w:t>Household substance abuse</w:t>
      </w:r>
    </w:p>
    <w:p w:rsidR="00E96DE3" w:rsidRPr="00E96DE3" w:rsidRDefault="00E96DE3" w:rsidP="00E96DE3">
      <w:pPr>
        <w:pStyle w:val="NoSpacing"/>
        <w:rPr>
          <w:kern w:val="0"/>
        </w:rPr>
      </w:pPr>
      <w:r w:rsidRPr="00E96DE3">
        <w:rPr>
          <w:kern w:val="0"/>
        </w:rPr>
        <w:t>Household mental illness</w:t>
      </w:r>
    </w:p>
    <w:p w:rsidR="00E96DE3" w:rsidRPr="00E96DE3" w:rsidRDefault="00E96DE3" w:rsidP="00E96DE3">
      <w:pPr>
        <w:pStyle w:val="NoSpacing"/>
        <w:rPr>
          <w:kern w:val="0"/>
        </w:rPr>
      </w:pPr>
      <w:r w:rsidRPr="00E96DE3">
        <w:rPr>
          <w:kern w:val="0"/>
        </w:rPr>
        <w:t>Parental separation or divorce</w:t>
      </w:r>
    </w:p>
    <w:p w:rsidR="00E96DE3" w:rsidRPr="00E96DE3" w:rsidRDefault="00E96DE3" w:rsidP="00E96DE3">
      <w:pPr>
        <w:pStyle w:val="NoSpacing"/>
        <w:rPr>
          <w:kern w:val="0"/>
        </w:rPr>
      </w:pPr>
      <w:r w:rsidRPr="00E96DE3">
        <w:rPr>
          <w:kern w:val="0"/>
        </w:rPr>
        <w:t>Domestic violence</w:t>
      </w:r>
    </w:p>
    <w:p w:rsidR="00E96DE3" w:rsidRDefault="00E96DE3" w:rsidP="00E96DE3">
      <w:pPr>
        <w:pStyle w:val="NoSpacing"/>
        <w:rPr>
          <w:kern w:val="0"/>
        </w:rPr>
      </w:pPr>
      <w:r w:rsidRPr="00E96DE3">
        <w:rPr>
          <w:kern w:val="0"/>
        </w:rPr>
        <w:t>Incarcerated household member</w:t>
      </w:r>
    </w:p>
    <w:p w:rsidR="00E96DE3" w:rsidRPr="00E96DE3" w:rsidRDefault="00E96DE3" w:rsidP="00E96DE3">
      <w:pPr>
        <w:pStyle w:val="NoSpacing"/>
        <w:rPr>
          <w:kern w:val="0"/>
        </w:rPr>
      </w:pPr>
    </w:p>
    <w:p w:rsidR="00E96DE3" w:rsidRDefault="00E96DE3" w:rsidP="00E96DE3">
      <w:pPr>
        <w:pStyle w:val="NoSpacing"/>
        <w:rPr>
          <w:kern w:val="0"/>
        </w:rPr>
      </w:pPr>
      <w:r w:rsidRPr="00E96DE3">
        <w:rPr>
          <w:kern w:val="0"/>
        </w:rPr>
        <w:t>Each "yes" response is assigned a score of 1, providing a cumulative ACE score ranging from 0 to 10. A higher score indicates a greater exposure to adverse experiences.</w:t>
      </w:r>
    </w:p>
    <w:p w:rsidR="00E96DE3" w:rsidRPr="00E96DE3" w:rsidRDefault="00E96DE3" w:rsidP="00E96DE3">
      <w:pPr>
        <w:pStyle w:val="NoSpacing"/>
        <w:rPr>
          <w:kern w:val="0"/>
        </w:rPr>
      </w:pPr>
    </w:p>
    <w:p w:rsidR="00E96DE3" w:rsidRDefault="00E96DE3" w:rsidP="00E96DE3">
      <w:pPr>
        <w:pStyle w:val="NoSpacing"/>
        <w:rPr>
          <w:kern w:val="0"/>
          <w:sz w:val="36"/>
          <w:szCs w:val="36"/>
        </w:rPr>
      </w:pPr>
      <w:r w:rsidRPr="00E96DE3">
        <w:rPr>
          <w:kern w:val="0"/>
          <w:sz w:val="36"/>
          <w:szCs w:val="36"/>
        </w:rPr>
        <w:t>Big-T vs. Little-t Trauma</w:t>
      </w:r>
    </w:p>
    <w:p w:rsidR="00E96DE3" w:rsidRPr="00E96DE3" w:rsidRDefault="00E96DE3" w:rsidP="00E96DE3">
      <w:pPr>
        <w:pStyle w:val="NoSpacing"/>
        <w:rPr>
          <w:kern w:val="0"/>
          <w:sz w:val="36"/>
          <w:szCs w:val="36"/>
        </w:rPr>
      </w:pPr>
    </w:p>
    <w:p w:rsidR="00E96DE3" w:rsidRDefault="00E96DE3" w:rsidP="00E96DE3">
      <w:pPr>
        <w:pStyle w:val="NoSpacing"/>
      </w:pPr>
      <w:r w:rsidRPr="00E96DE3">
        <w:t>Understanding the distinction between big-T and little-t trauma is crucial in comprehending the varying levels of trauma that individuals may face. These terms refer to different degrees of adversity and their impact on an individual's well-being.</w:t>
      </w:r>
    </w:p>
    <w:p w:rsidR="00E96DE3" w:rsidRPr="00E96DE3" w:rsidRDefault="00E96DE3" w:rsidP="00E96DE3">
      <w:pPr>
        <w:pStyle w:val="NoSpacing"/>
      </w:pPr>
    </w:p>
    <w:p w:rsidR="00E96DE3" w:rsidRPr="00E96DE3" w:rsidRDefault="00E96DE3" w:rsidP="00E96DE3">
      <w:pPr>
        <w:pStyle w:val="NoSpacing"/>
        <w:rPr>
          <w:i/>
          <w:iCs/>
          <w:sz w:val="30"/>
          <w:szCs w:val="30"/>
        </w:rPr>
      </w:pPr>
      <w:r w:rsidRPr="00E96DE3">
        <w:rPr>
          <w:i/>
          <w:iCs/>
          <w:sz w:val="30"/>
          <w:szCs w:val="30"/>
        </w:rPr>
        <w:t>Big-T Trauma:</w:t>
      </w:r>
    </w:p>
    <w:p w:rsidR="00E96DE3" w:rsidRDefault="00E96DE3" w:rsidP="00E96DE3">
      <w:pPr>
        <w:pStyle w:val="NoSpacing"/>
      </w:pPr>
      <w:r w:rsidRPr="00E96DE3">
        <w:lastRenderedPageBreak/>
        <w:t>Big-T trauma refers to significant, life-altering events that are often considered catastrophic. These experiences are typically easy to identify and may include:</w:t>
      </w:r>
    </w:p>
    <w:p w:rsidR="00E96DE3" w:rsidRPr="00E96DE3" w:rsidRDefault="00E96DE3" w:rsidP="00E96DE3">
      <w:pPr>
        <w:pStyle w:val="NoSpacing"/>
      </w:pPr>
    </w:p>
    <w:p w:rsidR="00E96DE3" w:rsidRPr="00E96DE3" w:rsidRDefault="00E96DE3" w:rsidP="00E96DE3">
      <w:pPr>
        <w:pStyle w:val="NoSpacing"/>
      </w:pPr>
      <w:r w:rsidRPr="00E96DE3">
        <w:t>Natural disasters</w:t>
      </w:r>
    </w:p>
    <w:p w:rsidR="00E96DE3" w:rsidRPr="00E96DE3" w:rsidRDefault="00E96DE3" w:rsidP="00E96DE3">
      <w:pPr>
        <w:pStyle w:val="NoSpacing"/>
      </w:pPr>
      <w:r w:rsidRPr="00E96DE3">
        <w:t>Serious accidents</w:t>
      </w:r>
    </w:p>
    <w:p w:rsidR="00E96DE3" w:rsidRPr="00E96DE3" w:rsidRDefault="00E96DE3" w:rsidP="00E96DE3">
      <w:pPr>
        <w:pStyle w:val="NoSpacing"/>
      </w:pPr>
      <w:r w:rsidRPr="00E96DE3">
        <w:t>Violent assaults</w:t>
      </w:r>
    </w:p>
    <w:p w:rsidR="00E96DE3" w:rsidRPr="00E96DE3" w:rsidRDefault="00E96DE3" w:rsidP="00E96DE3">
      <w:pPr>
        <w:pStyle w:val="NoSpacing"/>
      </w:pPr>
      <w:r w:rsidRPr="00E96DE3">
        <w:t>War or combat experiences</w:t>
      </w:r>
    </w:p>
    <w:p w:rsidR="00E96DE3" w:rsidRPr="00E96DE3" w:rsidRDefault="00E96DE3" w:rsidP="00E96DE3">
      <w:pPr>
        <w:pStyle w:val="NoSpacing"/>
      </w:pPr>
      <w:r w:rsidRPr="00E96DE3">
        <w:t>Terrorist attacks</w:t>
      </w:r>
    </w:p>
    <w:p w:rsidR="00E96DE3" w:rsidRDefault="00E96DE3" w:rsidP="00E96DE3">
      <w:pPr>
        <w:pStyle w:val="NoSpacing"/>
      </w:pPr>
      <w:r w:rsidRPr="00E96DE3">
        <w:t>Major loss or death of a loved one</w:t>
      </w:r>
    </w:p>
    <w:p w:rsidR="00E96DE3" w:rsidRPr="00E96DE3" w:rsidRDefault="00E96DE3" w:rsidP="00E96DE3">
      <w:pPr>
        <w:pStyle w:val="NoSpacing"/>
      </w:pPr>
    </w:p>
    <w:p w:rsidR="00E96DE3" w:rsidRDefault="00E96DE3" w:rsidP="00E96DE3">
      <w:pPr>
        <w:pStyle w:val="NoSpacing"/>
      </w:pPr>
      <w:r w:rsidRPr="00E96DE3">
        <w:t xml:space="preserve">Big-T traumas are events that have a profound and immediate impact on an individual's mental and physical well-being. </w:t>
      </w:r>
    </w:p>
    <w:p w:rsidR="00E96DE3" w:rsidRPr="00E96DE3" w:rsidRDefault="00E96DE3" w:rsidP="00E96DE3">
      <w:pPr>
        <w:pStyle w:val="NoSpacing"/>
      </w:pPr>
    </w:p>
    <w:p w:rsidR="00E96DE3" w:rsidRDefault="00E96DE3" w:rsidP="00E96DE3">
      <w:pPr>
        <w:pStyle w:val="NoSpacing"/>
      </w:pPr>
      <w:r w:rsidRPr="00E96DE3">
        <w:t>They can result in severe psychological distress and may require intensive therapeutic interventions.</w:t>
      </w:r>
    </w:p>
    <w:p w:rsidR="00E96DE3" w:rsidRPr="00E96DE3" w:rsidRDefault="00E96DE3" w:rsidP="00E96DE3">
      <w:pPr>
        <w:pStyle w:val="NoSpacing"/>
      </w:pPr>
    </w:p>
    <w:p w:rsidR="00E96DE3" w:rsidRDefault="00E96DE3" w:rsidP="00E96DE3">
      <w:pPr>
        <w:pStyle w:val="NoSpacing"/>
        <w:rPr>
          <w:i/>
          <w:iCs/>
          <w:sz w:val="30"/>
          <w:szCs w:val="30"/>
        </w:rPr>
      </w:pPr>
      <w:r w:rsidRPr="00E96DE3">
        <w:rPr>
          <w:i/>
          <w:iCs/>
          <w:sz w:val="30"/>
          <w:szCs w:val="30"/>
        </w:rPr>
        <w:t>Little-t Trauma:</w:t>
      </w:r>
    </w:p>
    <w:p w:rsidR="00E96DE3" w:rsidRPr="00E96DE3" w:rsidRDefault="00E96DE3" w:rsidP="00E96DE3">
      <w:pPr>
        <w:pStyle w:val="NoSpacing"/>
        <w:rPr>
          <w:i/>
          <w:iCs/>
          <w:sz w:val="30"/>
          <w:szCs w:val="30"/>
        </w:rPr>
      </w:pPr>
    </w:p>
    <w:p w:rsidR="00E96DE3" w:rsidRDefault="00E96DE3" w:rsidP="00E96DE3">
      <w:pPr>
        <w:pStyle w:val="NoSpacing"/>
      </w:pPr>
      <w:r w:rsidRPr="00E96DE3">
        <w:t>Little-t trauma, on the other hand, encompasses the more subtle, chronic, or ongoing stressors and adversities that individuals may face throughout their lives. These experiences may not be as immediately catastrophic, but they can still have a significant impact on a person's mental health. Examples of little-t trauma include:</w:t>
      </w:r>
    </w:p>
    <w:p w:rsidR="00E96DE3" w:rsidRPr="00E96DE3" w:rsidRDefault="00E96DE3" w:rsidP="00E96DE3">
      <w:pPr>
        <w:pStyle w:val="NoSpacing"/>
      </w:pPr>
    </w:p>
    <w:p w:rsidR="00E96DE3" w:rsidRPr="00E96DE3" w:rsidRDefault="00E96DE3" w:rsidP="00E96DE3">
      <w:pPr>
        <w:pStyle w:val="NoSpacing"/>
      </w:pPr>
      <w:r w:rsidRPr="00E96DE3">
        <w:t>Chronic emotional neglect</w:t>
      </w:r>
    </w:p>
    <w:p w:rsidR="00E96DE3" w:rsidRPr="00E96DE3" w:rsidRDefault="00E96DE3" w:rsidP="00E96DE3">
      <w:pPr>
        <w:pStyle w:val="NoSpacing"/>
      </w:pPr>
      <w:r w:rsidRPr="00E96DE3">
        <w:t>Persistent microaggressions or discrimination</w:t>
      </w:r>
    </w:p>
    <w:p w:rsidR="00E96DE3" w:rsidRPr="00E96DE3" w:rsidRDefault="00E96DE3" w:rsidP="00E96DE3">
      <w:pPr>
        <w:pStyle w:val="NoSpacing"/>
      </w:pPr>
      <w:r w:rsidRPr="00E96DE3">
        <w:t>Verbal or emotional abuse</w:t>
      </w:r>
    </w:p>
    <w:p w:rsidR="00E96DE3" w:rsidRPr="00E96DE3" w:rsidRDefault="00E96DE3" w:rsidP="00E96DE3">
      <w:pPr>
        <w:pStyle w:val="NoSpacing"/>
      </w:pPr>
      <w:r w:rsidRPr="00E96DE3">
        <w:t>Chronic parental conflict</w:t>
      </w:r>
    </w:p>
    <w:p w:rsidR="00E96DE3" w:rsidRDefault="00E96DE3" w:rsidP="00E96DE3">
      <w:pPr>
        <w:pStyle w:val="NoSpacing"/>
      </w:pPr>
      <w:r w:rsidRPr="00E96DE3">
        <w:t>Witnessing domestic violence</w:t>
      </w:r>
    </w:p>
    <w:p w:rsidR="00E96DE3" w:rsidRPr="00E96DE3" w:rsidRDefault="00E96DE3" w:rsidP="00E96DE3">
      <w:pPr>
        <w:pStyle w:val="NoSpacing"/>
      </w:pPr>
    </w:p>
    <w:p w:rsidR="00E96DE3" w:rsidRDefault="00E96DE3" w:rsidP="00E96DE3">
      <w:pPr>
        <w:pStyle w:val="NoSpacing"/>
      </w:pPr>
      <w:r w:rsidRPr="00E96DE3">
        <w:t>While individually these experiences may not be as overwhelming as big-T traumas, their cumulative effect over time can lead to a range of mental health issues and emotional challenges.</w:t>
      </w:r>
    </w:p>
    <w:p w:rsidR="00E96DE3" w:rsidRPr="00E96DE3" w:rsidRDefault="00E96DE3" w:rsidP="00E96DE3">
      <w:pPr>
        <w:pStyle w:val="NoSpacing"/>
      </w:pPr>
    </w:p>
    <w:p w:rsidR="00E96DE3" w:rsidRDefault="00E96DE3" w:rsidP="00E96DE3">
      <w:pPr>
        <w:pStyle w:val="NoSpacing"/>
        <w:rPr>
          <w:sz w:val="36"/>
          <w:szCs w:val="36"/>
        </w:rPr>
      </w:pPr>
      <w:r w:rsidRPr="00E96DE3">
        <w:rPr>
          <w:sz w:val="36"/>
          <w:szCs w:val="36"/>
        </w:rPr>
        <w:t xml:space="preserve">The Importance of Recognizing Both Types of </w:t>
      </w:r>
      <w:proofErr w:type="gramStart"/>
      <w:r w:rsidRPr="00E96DE3">
        <w:rPr>
          <w:sz w:val="36"/>
          <w:szCs w:val="36"/>
        </w:rPr>
        <w:t>Trauma</w:t>
      </w:r>
      <w:proofErr w:type="gramEnd"/>
      <w:r>
        <w:rPr>
          <w:sz w:val="36"/>
          <w:szCs w:val="36"/>
        </w:rPr>
        <w:t>:</w:t>
      </w:r>
    </w:p>
    <w:p w:rsidR="00E96DE3" w:rsidRPr="00E96DE3" w:rsidRDefault="00E96DE3" w:rsidP="00E96DE3">
      <w:pPr>
        <w:pStyle w:val="NoSpacing"/>
        <w:rPr>
          <w:sz w:val="36"/>
          <w:szCs w:val="36"/>
        </w:rPr>
      </w:pPr>
    </w:p>
    <w:p w:rsidR="00E96DE3" w:rsidRPr="00E96DE3" w:rsidRDefault="00E96DE3" w:rsidP="00E96DE3">
      <w:pPr>
        <w:pStyle w:val="NoSpacing"/>
      </w:pPr>
      <w:r w:rsidRPr="00E96DE3">
        <w:t>Acknowledging and understanding both big-T and little-t trauma is essential for mental health professionals, educators, and communities at large. It allows for more tailored approaches to healing and support for individuals who have experienced various levels of adversity.</w:t>
      </w:r>
    </w:p>
    <w:p w:rsidR="00E96DE3" w:rsidRPr="00E96DE3" w:rsidRDefault="00E96DE3" w:rsidP="00E96DE3">
      <w:pPr>
        <w:pStyle w:val="NoSpacing"/>
      </w:pPr>
      <w:r w:rsidRPr="00E96DE3">
        <w:t xml:space="preserve">Additionally, recognizing the presence of both types of </w:t>
      </w:r>
      <w:proofErr w:type="gramStart"/>
      <w:r w:rsidRPr="00E96DE3">
        <w:t>trauma</w:t>
      </w:r>
      <w:proofErr w:type="gramEnd"/>
      <w:r w:rsidRPr="00E96DE3">
        <w:t xml:space="preserve"> emphasizes the need for early intervention and prevention strategies. By identifying and addressing these experiences in childhood, we can mitigate the potential long-term consequences and provide individuals with the tools they need to lead healthier, more fulfilling lives.</w:t>
      </w:r>
    </w:p>
    <w:p w:rsidR="00E96DE3" w:rsidRDefault="00E96DE3" w:rsidP="00E96DE3">
      <w:pPr>
        <w:pStyle w:val="NoSpacing"/>
      </w:pPr>
      <w:r w:rsidRPr="00E96DE3">
        <w:lastRenderedPageBreak/>
        <w:t xml:space="preserve">In conclusion, the Adverse Childhood Experience Questionnaire (ACE-Q) is a crucial tool in assessing the impact of early life experiences on individuals. Understanding the distinction between big-T and little-t trauma is equally important, as it helps to tailor appropriate interventions and support for those who have experienced different levels of adversity. By recognizing and addressing both types of </w:t>
      </w:r>
      <w:proofErr w:type="gramStart"/>
      <w:r w:rsidRPr="00E96DE3">
        <w:t>trauma</w:t>
      </w:r>
      <w:proofErr w:type="gramEnd"/>
      <w:r w:rsidRPr="00E96DE3">
        <w:t xml:space="preserve">. We can work towards a more compassionate and informed approach to mental health and well-being. </w:t>
      </w:r>
    </w:p>
    <w:p w:rsidR="00E96DE3" w:rsidRPr="00E96DE3" w:rsidRDefault="00E96DE3" w:rsidP="00E96DE3">
      <w:pPr>
        <w:pStyle w:val="NoSpacing"/>
        <w:rPr>
          <w:kern w:val="0"/>
        </w:rPr>
      </w:pPr>
    </w:p>
    <w:p w:rsidR="00E96DE3" w:rsidRPr="00E96DE3" w:rsidRDefault="00E96DE3" w:rsidP="00E96DE3">
      <w:pPr>
        <w:pStyle w:val="NoSpacing"/>
        <w:rPr>
          <w:rFonts w:asciiTheme="majorHAnsi" w:hAnsiTheme="majorHAnsi" w:cstheme="majorHAnsi"/>
          <w:sz w:val="16"/>
          <w:szCs w:val="16"/>
        </w:rPr>
      </w:pPr>
      <w:r w:rsidRPr="00E96DE3">
        <w:rPr>
          <w:rStyle w:val="Strong"/>
          <w:rFonts w:asciiTheme="majorHAnsi" w:hAnsiTheme="majorHAnsi" w:cstheme="majorHAnsi"/>
          <w:sz w:val="16"/>
          <w:szCs w:val="16"/>
          <w:bdr w:val="single" w:sz="2" w:space="0" w:color="D9D9E3" w:frame="1"/>
        </w:rPr>
        <w:t>Disclaimer:</w:t>
      </w:r>
    </w:p>
    <w:p w:rsidR="00E96DE3" w:rsidRPr="00E96DE3" w:rsidRDefault="00E96DE3" w:rsidP="00E96DE3">
      <w:pPr>
        <w:pStyle w:val="NoSpacing"/>
        <w:rPr>
          <w:rFonts w:asciiTheme="majorHAnsi" w:hAnsiTheme="majorHAnsi" w:cstheme="majorHAnsi"/>
          <w:sz w:val="16"/>
          <w:szCs w:val="16"/>
        </w:rPr>
      </w:pPr>
      <w:r w:rsidRPr="00E96DE3">
        <w:rPr>
          <w:rFonts w:asciiTheme="majorHAnsi" w:hAnsiTheme="majorHAnsi" w:cstheme="majorHAnsi"/>
          <w:sz w:val="16"/>
          <w:szCs w:val="16"/>
        </w:rPr>
        <w:t>The information provided in this article is for general informational purposes only. It is not intended as a substitute for professional advice or treatment. Always seek the advice of a qualified healthcare provider or mental health professional regarding any medical or mental health concerns. The authors and publishers of this article are not responsible for any adverse consequences resulting from the use of the information provided herein. Reliance on any information provided in this article is solely at your own risk.</w:t>
      </w:r>
    </w:p>
    <w:p w:rsidR="00E96DE3" w:rsidRPr="00E96DE3" w:rsidRDefault="00E96DE3" w:rsidP="00E96DE3">
      <w:pPr>
        <w:pStyle w:val="NoSpacing"/>
        <w:rPr>
          <w:rFonts w:asciiTheme="majorHAnsi" w:hAnsiTheme="majorHAnsi" w:cstheme="majorHAnsi"/>
          <w:sz w:val="16"/>
          <w:szCs w:val="16"/>
        </w:rPr>
      </w:pPr>
      <w:r w:rsidRPr="00E96DE3">
        <w:rPr>
          <w:rFonts w:asciiTheme="majorHAnsi" w:hAnsiTheme="majorHAnsi" w:cstheme="majorHAnsi"/>
          <w:sz w:val="16"/>
          <w:szCs w:val="16"/>
        </w:rPr>
        <w:t>Additionally, the content of this article reflects the knowledge and information available up until the cutoff date of January 2022. It may not reflect the most current research or medical guidelines. For the latest information on any topic discussed in this article, please consult reputable sources or qualified professionals.</w:t>
      </w:r>
    </w:p>
    <w:p w:rsidR="00C77FCD" w:rsidRPr="00E96DE3" w:rsidRDefault="00C77FCD" w:rsidP="00E96DE3">
      <w:pPr>
        <w:pStyle w:val="NoSpacing"/>
      </w:pPr>
    </w:p>
    <w:sectPr w:rsidR="00C77FCD" w:rsidRPr="00E96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6AC6"/>
    <w:multiLevelType w:val="multilevel"/>
    <w:tmpl w:val="125E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D41D45"/>
    <w:multiLevelType w:val="multilevel"/>
    <w:tmpl w:val="3B16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D0E65"/>
    <w:multiLevelType w:val="multilevel"/>
    <w:tmpl w:val="B2C8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441678">
    <w:abstractNumId w:val="0"/>
  </w:num>
  <w:num w:numId="2" w16cid:durableId="1746611924">
    <w:abstractNumId w:val="2"/>
  </w:num>
  <w:num w:numId="3" w16cid:durableId="160295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E3"/>
    <w:rsid w:val="00092AA2"/>
    <w:rsid w:val="001936FB"/>
    <w:rsid w:val="005F4462"/>
    <w:rsid w:val="00902FD1"/>
    <w:rsid w:val="00C77FCD"/>
    <w:rsid w:val="00E9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13281"/>
  <w15:chartTrackingRefBased/>
  <w15:docId w15:val="{C989D690-ACFB-E94E-B198-17317114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6DE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96DE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E96DE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DE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96DE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E96DE3"/>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E96DE3"/>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E96DE3"/>
    <w:rPr>
      <w:b/>
      <w:bCs/>
    </w:rPr>
  </w:style>
  <w:style w:type="paragraph" w:styleId="NoSpacing">
    <w:name w:val="No Spacing"/>
    <w:uiPriority w:val="1"/>
    <w:qFormat/>
    <w:rsid w:val="00E9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8741">
      <w:bodyDiv w:val="1"/>
      <w:marLeft w:val="0"/>
      <w:marRight w:val="0"/>
      <w:marTop w:val="0"/>
      <w:marBottom w:val="0"/>
      <w:divBdr>
        <w:top w:val="none" w:sz="0" w:space="0" w:color="auto"/>
        <w:left w:val="none" w:sz="0" w:space="0" w:color="auto"/>
        <w:bottom w:val="none" w:sz="0" w:space="0" w:color="auto"/>
        <w:right w:val="none" w:sz="0" w:space="0" w:color="auto"/>
      </w:divBdr>
    </w:div>
    <w:div w:id="670527850">
      <w:bodyDiv w:val="1"/>
      <w:marLeft w:val="0"/>
      <w:marRight w:val="0"/>
      <w:marTop w:val="0"/>
      <w:marBottom w:val="0"/>
      <w:divBdr>
        <w:top w:val="none" w:sz="0" w:space="0" w:color="auto"/>
        <w:left w:val="none" w:sz="0" w:space="0" w:color="auto"/>
        <w:bottom w:val="none" w:sz="0" w:space="0" w:color="auto"/>
        <w:right w:val="none" w:sz="0" w:space="0" w:color="auto"/>
      </w:divBdr>
    </w:div>
    <w:div w:id="926765751">
      <w:bodyDiv w:val="1"/>
      <w:marLeft w:val="0"/>
      <w:marRight w:val="0"/>
      <w:marTop w:val="0"/>
      <w:marBottom w:val="0"/>
      <w:divBdr>
        <w:top w:val="none" w:sz="0" w:space="0" w:color="auto"/>
        <w:left w:val="none" w:sz="0" w:space="0" w:color="auto"/>
        <w:bottom w:val="none" w:sz="0" w:space="0" w:color="auto"/>
        <w:right w:val="none" w:sz="0" w:space="0" w:color="auto"/>
      </w:divBdr>
    </w:div>
    <w:div w:id="986468585">
      <w:bodyDiv w:val="1"/>
      <w:marLeft w:val="0"/>
      <w:marRight w:val="0"/>
      <w:marTop w:val="0"/>
      <w:marBottom w:val="0"/>
      <w:divBdr>
        <w:top w:val="none" w:sz="0" w:space="0" w:color="auto"/>
        <w:left w:val="none" w:sz="0" w:space="0" w:color="auto"/>
        <w:bottom w:val="none" w:sz="0" w:space="0" w:color="auto"/>
        <w:right w:val="none" w:sz="0" w:space="0" w:color="auto"/>
      </w:divBdr>
    </w:div>
    <w:div w:id="1446535593">
      <w:bodyDiv w:val="1"/>
      <w:marLeft w:val="0"/>
      <w:marRight w:val="0"/>
      <w:marTop w:val="0"/>
      <w:marBottom w:val="0"/>
      <w:divBdr>
        <w:top w:val="none" w:sz="0" w:space="0" w:color="auto"/>
        <w:left w:val="none" w:sz="0" w:space="0" w:color="auto"/>
        <w:bottom w:val="none" w:sz="0" w:space="0" w:color="auto"/>
        <w:right w:val="none" w:sz="0" w:space="0" w:color="auto"/>
      </w:divBdr>
    </w:div>
    <w:div w:id="20568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2023-11-03T13:21:00Z</dcterms:created>
  <dcterms:modified xsi:type="dcterms:W3CDTF">2023-11-03T13:34:00Z</dcterms:modified>
</cp:coreProperties>
</file>