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Navigating Grief During the Holiday Season: Strategies for Coping and Finding Meaning</w:t>
      </w:r>
    </w:p>
    <w:p w:rsidR="001E0C78" w:rsidRDefault="001E0C78" w:rsidP="001E0C78">
      <w:pPr>
        <w:pStyle w:val="NoSpacing"/>
        <w:rPr>
          <w:rFonts w:asciiTheme="majorHAnsi" w:hAnsiTheme="majorHAnsi" w:cstheme="majorHAnsi"/>
        </w:rPr>
      </w:pPr>
      <w:r w:rsidRPr="001E0C78">
        <w:rPr>
          <w:rFonts w:asciiTheme="majorHAnsi" w:hAnsiTheme="majorHAnsi" w:cstheme="majorHAnsi"/>
        </w:rPr>
        <w:t>Introduction:</w:t>
      </w:r>
    </w:p>
    <w:p w:rsidR="001E0C78" w:rsidRPr="001E0C78" w:rsidRDefault="001E0C78" w:rsidP="001E0C78">
      <w:pPr>
        <w:pStyle w:val="NoSpacing"/>
        <w:rPr>
          <w:rFonts w:asciiTheme="majorHAnsi" w:hAnsiTheme="majorHAnsi" w:cstheme="majorHAnsi"/>
        </w:rPr>
      </w:pPr>
    </w:p>
    <w:p w:rsidR="001E0C78" w:rsidRDefault="001E0C78" w:rsidP="001E0C78">
      <w:pPr>
        <w:pStyle w:val="NoSpacing"/>
        <w:rPr>
          <w:rFonts w:asciiTheme="majorHAnsi" w:hAnsiTheme="majorHAnsi" w:cstheme="majorHAnsi"/>
        </w:rPr>
      </w:pPr>
      <w:r w:rsidRPr="001E0C78">
        <w:rPr>
          <w:rFonts w:asciiTheme="majorHAnsi" w:hAnsiTheme="majorHAnsi" w:cstheme="majorHAnsi"/>
        </w:rPr>
        <w:t>The holiday season is often portrayed as a time of joy, celebration, and togetherness. However, for those who are grieving the loss of a loved one, this time of year can be particularly challenging. The contrast between the festive atmosphere and the weight of grief can intensify feelings of sadness and loneliness. It's essential to acknowledge and honor these emotions while finding ways to navigate through the holiday season with compassion for oneself. Here are some strategies to manage grief during this time:</w:t>
      </w:r>
    </w:p>
    <w:p w:rsidR="001E0C78" w:rsidRPr="001E0C78" w:rsidRDefault="001E0C78" w:rsidP="001E0C78">
      <w:pPr>
        <w:pStyle w:val="NoSpacing"/>
        <w:rPr>
          <w:rFonts w:asciiTheme="majorHAnsi" w:hAnsiTheme="majorHAnsi" w:cstheme="majorHAnsi"/>
        </w:rPr>
      </w:pP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Acknowledge Your Feelings:</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The first step in coping with grief during the holidays is to acknowledge and accept your feelings. It's okay to experience sadness, anger, or even moments of joy. Recognizing and allowing yourself to feel these emotions is a crucial part of the healing process.</w:t>
      </w:r>
    </w:p>
    <w:p w:rsidR="001E0C78" w:rsidRP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Create New Traditions:</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Consider establishing new traditions or modifying existing ones to suit your current circumstances. This can help you avoid the pain associated with activities that may trigger memories of your loved one. Whether it's volunteering, participating in a meaningful ritual, or celebrating in a different way, finding new traditions can provide a fresh perspective.</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Honor and Remember:</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Set aside time to honor and remember your loved one during the holiday season. This might involve creating a memorial, lighting a candle, or sharing stories about them with family and friends. Finding meaningful ways to keep their memory alive can be a source of comfort.</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Express Your Needs:</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Communicate your needs to friends and family. Let them know how they can support you during this challenging time. Whether it's adjusting plans, scaling back on festivities, or having open conversations about your feelings, expressing your needs is crucial for fostering understanding and empathy.</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Self-Care:</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Take care of yourself physically and emotionally. Grieving can be exhausting, and the holiday season can amplify these feelings. Ensure you get enough rest, maintain a balanced diet, and engage in activities that bring you comfort and peace.</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Seek Support:</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Connect with others who understand or share your experience. Grief support groups, counseling, or talking to a trusted friend can provide an outlet for expressing your emotions. Sharing your feelings with those who empathize can be a valuable source of support.</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Set Boundaries:</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It's essential to recognize your limits and set boundaries. You may need to decline invitations or limit your participation in certain activities. Give yourself permission to prioritize your well-being and do what feels right for you.</w:t>
      </w:r>
    </w:p>
    <w:p w:rsid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Focus on Meaningful Connections:</w:t>
      </w:r>
      <w:r w:rsidRPr="001E0C78">
        <w:rPr>
          <w:rFonts w:asciiTheme="majorHAnsi" w:hAnsiTheme="majorHAnsi" w:cstheme="majorHAnsi"/>
        </w:rPr>
        <w:t xml:space="preserve"> </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lastRenderedPageBreak/>
        <w:t>Channel your energy into meaningful connections with others. Whether it's spending time with close friends, family, or even engaging in community events, surround yourself with people who provide comfort and understanding.</w:t>
      </w:r>
    </w:p>
    <w:p w:rsidR="001E0C78" w:rsidRPr="001E0C78" w:rsidRDefault="001E0C78" w:rsidP="001E0C78">
      <w:pPr>
        <w:pStyle w:val="NoSpacing"/>
        <w:rPr>
          <w:rFonts w:asciiTheme="majorHAnsi" w:hAnsiTheme="majorHAnsi" w:cstheme="majorHAnsi"/>
          <w:b/>
          <w:bCs/>
        </w:rPr>
      </w:pPr>
      <w:r w:rsidRPr="001E0C78">
        <w:rPr>
          <w:rFonts w:asciiTheme="majorHAnsi" w:hAnsiTheme="majorHAnsi" w:cstheme="majorHAnsi"/>
          <w:b/>
          <w:bCs/>
        </w:rPr>
        <w:t>Conclusion:</w:t>
      </w:r>
    </w:p>
    <w:p w:rsidR="001E0C78" w:rsidRDefault="001E0C78" w:rsidP="001E0C78">
      <w:pPr>
        <w:pStyle w:val="NoSpacing"/>
        <w:rPr>
          <w:rFonts w:asciiTheme="majorHAnsi" w:hAnsiTheme="majorHAnsi" w:cstheme="majorHAnsi"/>
        </w:rPr>
      </w:pPr>
      <w:r w:rsidRPr="001E0C78">
        <w:rPr>
          <w:rFonts w:asciiTheme="majorHAnsi" w:hAnsiTheme="majorHAnsi" w:cstheme="majorHAnsi"/>
        </w:rPr>
        <w:t>Grieving during the holiday season is a unique and personal experience. By acknowledging your feelings, creating new traditions, honoring your loved one, and seeking support, you can navigate this challenging time with grace and compassion for yourself. Remember that healing is a gradual process, and finding ways to cope during the holidays is a significant step toward reclaiming a sense of peace and joy in the midst of grief.</w:t>
      </w:r>
    </w:p>
    <w:p w:rsidR="001E0C78" w:rsidRPr="001E0C78" w:rsidRDefault="001E0C78" w:rsidP="001E0C78">
      <w:pPr>
        <w:pStyle w:val="NoSpacing"/>
        <w:rPr>
          <w:rFonts w:asciiTheme="majorHAnsi" w:hAnsiTheme="majorHAnsi" w:cstheme="majorHAnsi"/>
        </w:rPr>
      </w:pPr>
    </w:p>
    <w:p w:rsidR="001E0C78" w:rsidRPr="001E0C78" w:rsidRDefault="001E0C78" w:rsidP="001E0C78">
      <w:pPr>
        <w:pStyle w:val="NoSpacing"/>
        <w:rPr>
          <w:rFonts w:asciiTheme="majorHAnsi" w:hAnsiTheme="majorHAnsi" w:cstheme="majorHAnsi"/>
        </w:rPr>
      </w:pPr>
      <w:r w:rsidRPr="001E0C78">
        <w:rPr>
          <w:rStyle w:val="Strong"/>
          <w:rFonts w:asciiTheme="majorHAnsi" w:hAnsiTheme="majorHAnsi" w:cstheme="majorHAnsi"/>
          <w:bdr w:val="single" w:sz="2" w:space="0" w:color="D9D9E3" w:frame="1"/>
        </w:rPr>
        <w:t>Disclaimer:</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The information provided in this article is for general informational purposes only and should not be considered as professional or medical advice. The content is based on general knowledge and does not take into account individual circumstances.</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While efforts have been made to ensure the accuracy and reliability of the information presented, it is subject to change, and no guarantee is given regarding the completeness, accuracy, or applicability of the content to specific situations.</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Readers are advised to consult with qualified professionals for advice tailored to their unique circumstances. Any reliance on the information in this article is at the reader's own risk. The author and the platform assume no liability for any loss or damage arising from the use of the information provided.</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Additionally, this article may contain generalizations, and not all recommendations may be suitable for every individual. It is essential to consider personal circumstances and, if necessary, seek guidance from appropriate professionals.</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The inclusion of external links or references does not imply endorsement or approval of the content, services, or products provided by third-party websites.</w:t>
      </w:r>
    </w:p>
    <w:p w:rsidR="001E0C78" w:rsidRPr="001E0C78" w:rsidRDefault="001E0C78" w:rsidP="001E0C78">
      <w:pPr>
        <w:pStyle w:val="NoSpacing"/>
        <w:rPr>
          <w:rFonts w:asciiTheme="majorHAnsi" w:hAnsiTheme="majorHAnsi" w:cstheme="majorHAnsi"/>
        </w:rPr>
      </w:pPr>
      <w:r w:rsidRPr="001E0C78">
        <w:rPr>
          <w:rFonts w:asciiTheme="majorHAnsi" w:hAnsiTheme="majorHAnsi" w:cstheme="majorHAnsi"/>
        </w:rPr>
        <w:t>By reading this article, the reader acknowledges and agrees to the terms of this disclaimer.</w:t>
      </w:r>
    </w:p>
    <w:p w:rsidR="00C77FCD" w:rsidRPr="001E0C78" w:rsidRDefault="00C77FCD" w:rsidP="001E0C78">
      <w:pPr>
        <w:pStyle w:val="NoSpacing"/>
        <w:rPr>
          <w:rFonts w:asciiTheme="majorHAnsi" w:hAnsiTheme="majorHAnsi" w:cstheme="majorHAnsi"/>
        </w:rPr>
      </w:pPr>
    </w:p>
    <w:sectPr w:rsidR="00C77FCD" w:rsidRPr="001E0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99"/>
    <w:multiLevelType w:val="multilevel"/>
    <w:tmpl w:val="675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31D7C"/>
    <w:multiLevelType w:val="multilevel"/>
    <w:tmpl w:val="BBC85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27DF6"/>
    <w:multiLevelType w:val="multilevel"/>
    <w:tmpl w:val="2CFAD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998829">
    <w:abstractNumId w:val="2"/>
  </w:num>
  <w:num w:numId="2" w16cid:durableId="2102797349">
    <w:abstractNumId w:val="0"/>
  </w:num>
  <w:num w:numId="3" w16cid:durableId="453015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78"/>
    <w:rsid w:val="00092AA2"/>
    <w:rsid w:val="001E0C78"/>
    <w:rsid w:val="005F4462"/>
    <w:rsid w:val="00805391"/>
    <w:rsid w:val="00902FD1"/>
    <w:rsid w:val="00C7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D001"/>
  <w15:chartTrackingRefBased/>
  <w15:docId w15:val="{1BBE394C-CE1A-8942-8FF6-A9BD59D5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C7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E0C78"/>
    <w:rPr>
      <w:b/>
      <w:bCs/>
    </w:rPr>
  </w:style>
  <w:style w:type="paragraph" w:styleId="NoSpacing">
    <w:name w:val="No Spacing"/>
    <w:uiPriority w:val="1"/>
    <w:qFormat/>
    <w:rsid w:val="001E0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0498">
      <w:bodyDiv w:val="1"/>
      <w:marLeft w:val="0"/>
      <w:marRight w:val="0"/>
      <w:marTop w:val="0"/>
      <w:marBottom w:val="0"/>
      <w:divBdr>
        <w:top w:val="none" w:sz="0" w:space="0" w:color="auto"/>
        <w:left w:val="none" w:sz="0" w:space="0" w:color="auto"/>
        <w:bottom w:val="none" w:sz="0" w:space="0" w:color="auto"/>
        <w:right w:val="none" w:sz="0" w:space="0" w:color="auto"/>
      </w:divBdr>
    </w:div>
    <w:div w:id="811749521">
      <w:bodyDiv w:val="1"/>
      <w:marLeft w:val="0"/>
      <w:marRight w:val="0"/>
      <w:marTop w:val="0"/>
      <w:marBottom w:val="0"/>
      <w:divBdr>
        <w:top w:val="none" w:sz="0" w:space="0" w:color="auto"/>
        <w:left w:val="none" w:sz="0" w:space="0" w:color="auto"/>
        <w:bottom w:val="none" w:sz="0" w:space="0" w:color="auto"/>
        <w:right w:val="none" w:sz="0" w:space="0" w:color="auto"/>
      </w:divBdr>
    </w:div>
    <w:div w:id="1689868663">
      <w:bodyDiv w:val="1"/>
      <w:marLeft w:val="0"/>
      <w:marRight w:val="0"/>
      <w:marTop w:val="0"/>
      <w:marBottom w:val="0"/>
      <w:divBdr>
        <w:top w:val="none" w:sz="0" w:space="0" w:color="auto"/>
        <w:left w:val="none" w:sz="0" w:space="0" w:color="auto"/>
        <w:bottom w:val="none" w:sz="0" w:space="0" w:color="auto"/>
        <w:right w:val="none" w:sz="0" w:space="0" w:color="auto"/>
      </w:divBdr>
    </w:div>
    <w:div w:id="20809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T-Force Health Mind and Body</dc:creator>
  <cp:keywords/>
  <dc:description/>
  <cp:lastModifiedBy>T-Force Health Mind and Body</cp:lastModifiedBy>
  <cp:revision>1</cp:revision>
  <dcterms:created xsi:type="dcterms:W3CDTF">2023-11-10T13:29:00Z</dcterms:created>
  <dcterms:modified xsi:type="dcterms:W3CDTF">2023-11-10T22:16:00Z</dcterms:modified>
</cp:coreProperties>
</file>